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" w:eastAsia="BookAntiqua" w:cs="BookAntiqua"/>
          <w:color w:val="373435"/>
          <w:sz w:val="14"/>
          <w:szCs w:val="14"/>
        </w:rPr>
      </w:pPr>
      <w:r>
        <w:rPr>
          <w:rFonts w:ascii="BookAntiqua" w:eastAsia="BookAntiqua" w:cs="BookAntiqua"/>
          <w:color w:val="373435"/>
          <w:sz w:val="14"/>
          <w:szCs w:val="14"/>
        </w:rPr>
        <w:t>Contents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" w:eastAsia="BookAntiqua" w:cs="BookAntiqua"/>
          <w:color w:val="373435"/>
          <w:sz w:val="12"/>
          <w:szCs w:val="12"/>
        </w:rPr>
      </w:pPr>
      <w:bookmarkStart w:id="0" w:name="_GoBack"/>
      <w:bookmarkEnd w:id="0"/>
      <w:r>
        <w:rPr>
          <w:rFonts w:ascii="BookAntiqua" w:eastAsia="BookAntiqua" w:cs="BookAntiqua"/>
          <w:color w:val="373435"/>
          <w:sz w:val="12"/>
          <w:szCs w:val="12"/>
        </w:rPr>
        <w:t>Niger Delta Journal of Medical Sciences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" w:eastAsia="BookAntiqua" w:cs="BookAntiqua"/>
          <w:color w:val="373435"/>
          <w:sz w:val="24"/>
          <w:szCs w:val="24"/>
        </w:rPr>
      </w:pPr>
      <w:r>
        <w:rPr>
          <w:rFonts w:ascii="BookAntiqua" w:eastAsia="BookAntiqua" w:cs="BookAntiqua"/>
          <w:color w:val="373435"/>
          <w:sz w:val="24"/>
          <w:szCs w:val="24"/>
        </w:rPr>
        <w:t>Original Articles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</w:pPr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Prevalence of Prolonged QRS Duration and Associated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</w:pPr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Factors among Heart Failure Patients in a Tertiary Healthcare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</w:pPr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Facility in Bayelsa State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" w:eastAsia="BookAntiqua" w:cs="BookAntiqua"/>
          <w:color w:val="373435"/>
          <w:sz w:val="24"/>
          <w:szCs w:val="24"/>
        </w:rPr>
      </w:pP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Tamaraemumoemi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 E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Okoro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,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Johnbull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 Jumbo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</w:pPr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 xml:space="preserve">Dysmenorrhea among Female Medical Students of </w:t>
      </w:r>
      <w:proofErr w:type="spellStart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Bayero</w:t>
      </w:r>
      <w:proofErr w:type="spellEnd"/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</w:pPr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University Kano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" w:eastAsia="BookAntiqua" w:cs="BookAntiqua"/>
          <w:color w:val="373435"/>
          <w:sz w:val="24"/>
          <w:szCs w:val="24"/>
        </w:rPr>
      </w:pP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Idris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 U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Takai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,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AliGombeHadiza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,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Attah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 A Raphael, Ibrahim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" w:eastAsia="BookAntiqua" w:cs="BookAntiqua"/>
          <w:color w:val="373435"/>
          <w:sz w:val="24"/>
          <w:szCs w:val="24"/>
        </w:rPr>
      </w:pP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Ayakasai</w:t>
      </w:r>
      <w:proofErr w:type="spellEnd"/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</w:pPr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Case reporting for neonatal tetanus surveillance and practices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</w:pPr>
      <w:proofErr w:type="gramStart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influencing</w:t>
      </w:r>
      <w:proofErr w:type="gramEnd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 xml:space="preserve"> neonatal tetanus incidence in Bayelsa state of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</w:pPr>
      <w:proofErr w:type="spellStart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Nigeria</w:t>
      </w:r>
      <w:proofErr w:type="gramStart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:a</w:t>
      </w:r>
      <w:proofErr w:type="spellEnd"/>
      <w:proofErr w:type="gramEnd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 xml:space="preserve"> five-year review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" w:eastAsia="BookAntiqua" w:cs="BookAntiqua"/>
          <w:color w:val="373435"/>
          <w:sz w:val="24"/>
          <w:szCs w:val="24"/>
        </w:rPr>
      </w:pP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Oyeyemi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SAbisoye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,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Afakwu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 C Hilda, </w:t>
      </w:r>
      <w:proofErr w:type="spellStart"/>
      <w:proofErr w:type="gramStart"/>
      <w:r>
        <w:rPr>
          <w:rFonts w:ascii="BookAntiqua" w:eastAsia="BookAntiqua" w:cs="BookAntiqua"/>
          <w:color w:val="373435"/>
          <w:sz w:val="24"/>
          <w:szCs w:val="24"/>
        </w:rPr>
        <w:t>EsievoadjeAkpofure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 ,</w:t>
      </w:r>
      <w:proofErr w:type="gramEnd"/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" w:eastAsia="BookAntiqua" w:cs="BookAntiqua"/>
          <w:color w:val="373435"/>
          <w:sz w:val="24"/>
          <w:szCs w:val="24"/>
        </w:rPr>
      </w:pPr>
      <w:r>
        <w:rPr>
          <w:rFonts w:ascii="BookAntiqua" w:eastAsia="BookAntiqua" w:cs="BookAntiqua"/>
          <w:color w:val="373435"/>
          <w:sz w:val="24"/>
          <w:szCs w:val="24"/>
        </w:rPr>
        <w:t>Luke I Evans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</w:pPr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 xml:space="preserve">Tuberculosis Register Audit: a Comparison of TB </w:t>
      </w:r>
      <w:proofErr w:type="gramStart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Clinic ,</w:t>
      </w:r>
      <w:proofErr w:type="gramEnd"/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</w:pPr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Niger Delta University Teaching Hospital and Tuberculosis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</w:pPr>
      <w:proofErr w:type="gramStart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and</w:t>
      </w:r>
      <w:proofErr w:type="gramEnd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 xml:space="preserve"> Leprosy Hospital, Bayelsa State, South-South, Nigeria.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" w:eastAsia="BookAntiqua" w:cs="BookAntiqua"/>
          <w:color w:val="373435"/>
          <w:sz w:val="24"/>
          <w:szCs w:val="24"/>
        </w:rPr>
      </w:pPr>
      <w:r>
        <w:rPr>
          <w:rFonts w:ascii="BookAntiqua" w:eastAsia="BookAntiqua" w:cs="BookAntiqua"/>
          <w:color w:val="373435"/>
          <w:sz w:val="24"/>
          <w:szCs w:val="24"/>
        </w:rPr>
        <w:t xml:space="preserve">Jumbo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Johnbull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,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Okoro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 T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Emmanuella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,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Edafe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 E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Auchi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>,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" w:eastAsia="BookAntiqua" w:cs="BookAntiqua"/>
          <w:color w:val="373435"/>
          <w:sz w:val="24"/>
          <w:szCs w:val="24"/>
        </w:rPr>
      </w:pP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Osagiede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 F Emmanuel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" w:eastAsia="BookAntiqua" w:cs="BookAntiqua"/>
          <w:color w:val="373435"/>
          <w:sz w:val="24"/>
          <w:szCs w:val="24"/>
        </w:rPr>
      </w:pPr>
      <w:r>
        <w:rPr>
          <w:rFonts w:ascii="BookAntiqua" w:eastAsia="BookAntiqua" w:cs="BookAntiqua"/>
          <w:color w:val="373435"/>
          <w:sz w:val="24"/>
          <w:szCs w:val="24"/>
        </w:rPr>
        <w:t>Case Reports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</w:pPr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 xml:space="preserve">A Case Report of Isolated Vulvar </w:t>
      </w:r>
      <w:proofErr w:type="spellStart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Neurofibroma</w:t>
      </w:r>
      <w:proofErr w:type="spellEnd"/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</w:pPr>
      <w:proofErr w:type="spellStart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Radiologically</w:t>
      </w:r>
      <w:proofErr w:type="spellEnd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 xml:space="preserve"> suggested to be a </w:t>
      </w:r>
      <w:proofErr w:type="spellStart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Lipoma</w:t>
      </w:r>
      <w:proofErr w:type="spellEnd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.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" w:eastAsia="BookAntiqua" w:cs="BookAntiqua"/>
          <w:color w:val="373435"/>
          <w:sz w:val="24"/>
          <w:szCs w:val="24"/>
        </w:rPr>
      </w:pP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Emegoakor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 CJ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Fausta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, </w:t>
      </w:r>
      <w:proofErr w:type="spellStart"/>
      <w:r>
        <w:rPr>
          <w:rFonts w:ascii="BookAntiqua" w:eastAsia="BookAntiqua" w:cs="BookAntiqua"/>
          <w:color w:val="333333"/>
          <w:sz w:val="24"/>
          <w:szCs w:val="24"/>
        </w:rPr>
        <w:t>Nzegwu</w:t>
      </w:r>
      <w:proofErr w:type="spellEnd"/>
      <w:r>
        <w:rPr>
          <w:rFonts w:ascii="BookAntiqua" w:eastAsia="BookAntiqua" w:cs="BookAntiqua"/>
          <w:color w:val="333333"/>
          <w:sz w:val="24"/>
          <w:szCs w:val="24"/>
        </w:rPr>
        <w:t xml:space="preserve"> </w:t>
      </w:r>
      <w:r>
        <w:rPr>
          <w:rFonts w:ascii="BookAntiqua" w:eastAsia="BookAntiqua" w:cs="BookAntiqua"/>
          <w:color w:val="373435"/>
          <w:sz w:val="24"/>
          <w:szCs w:val="24"/>
        </w:rPr>
        <w:t xml:space="preserve">A Martin,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Ugwu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 O Monica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</w:pPr>
      <w:proofErr w:type="spellStart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Ureterocele</w:t>
      </w:r>
      <w:proofErr w:type="spellEnd"/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 xml:space="preserve"> in an Adult Male Nigerian: a Case Report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" w:eastAsia="BookAntiqua" w:cs="BookAntiqua"/>
          <w:color w:val="373435"/>
          <w:sz w:val="24"/>
          <w:szCs w:val="24"/>
        </w:rPr>
      </w:pP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Ajadi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 A.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Taofeek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,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OseniIsmaila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,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Ogunmoroti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 O Abel, </w:t>
      </w: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Onifade</w:t>
      </w:r>
      <w:proofErr w:type="spellEnd"/>
      <w:r>
        <w:rPr>
          <w:rFonts w:ascii="BookAntiqua" w:eastAsia="BookAntiqua" w:cs="BookAntiqua"/>
          <w:color w:val="373435"/>
          <w:sz w:val="24"/>
          <w:szCs w:val="24"/>
        </w:rPr>
        <w:t xml:space="preserve"> A</w:t>
      </w:r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" w:eastAsia="BookAntiqua" w:cs="BookAntiqua"/>
          <w:color w:val="373435"/>
          <w:sz w:val="24"/>
          <w:szCs w:val="24"/>
        </w:rPr>
      </w:pPr>
      <w:proofErr w:type="spellStart"/>
      <w:r>
        <w:rPr>
          <w:rFonts w:ascii="BookAntiqua" w:eastAsia="BookAntiqua" w:cs="BookAntiqua"/>
          <w:color w:val="373435"/>
          <w:sz w:val="24"/>
          <w:szCs w:val="24"/>
        </w:rPr>
        <w:t>Adekunle</w:t>
      </w:r>
      <w:proofErr w:type="spellEnd"/>
    </w:p>
    <w:p w:rsidR="0073476B" w:rsidRDefault="0073476B" w:rsidP="0073476B">
      <w:pPr>
        <w:autoSpaceDE w:val="0"/>
        <w:autoSpaceDN w:val="0"/>
        <w:adjustRightInd w:val="0"/>
        <w:spacing w:after="0" w:line="240" w:lineRule="auto"/>
        <w:rPr>
          <w:rFonts w:ascii="BookAntiqua" w:eastAsia="BookAntiqua" w:cs="BookAntiqua"/>
          <w:color w:val="373435"/>
          <w:sz w:val="24"/>
          <w:szCs w:val="24"/>
        </w:rPr>
      </w:pPr>
      <w:r>
        <w:rPr>
          <w:rFonts w:ascii="BookAntiqua" w:eastAsia="BookAntiqua" w:cs="BookAntiqua"/>
          <w:color w:val="373435"/>
          <w:sz w:val="24"/>
          <w:szCs w:val="24"/>
        </w:rPr>
        <w:t>Letter to Editor</w:t>
      </w:r>
    </w:p>
    <w:p w:rsidR="008874FD" w:rsidRDefault="0073476B" w:rsidP="0073476B">
      <w:r>
        <w:rPr>
          <w:rFonts w:ascii="BookAntiqua-Bold" w:eastAsia="BookAntiqua" w:hAnsi="BookAntiqua-Bold" w:cs="BookAntiqua-Bold"/>
          <w:b/>
          <w:bCs/>
          <w:color w:val="373435"/>
          <w:sz w:val="24"/>
          <w:szCs w:val="24"/>
        </w:rPr>
        <w:t>COVID-19: Treatment Matters Arising for Evidence-</w:t>
      </w:r>
    </w:p>
    <w:sectPr w:rsidR="00887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Antiqu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B"/>
    <w:rsid w:val="0016302F"/>
    <w:rsid w:val="0073476B"/>
    <w:rsid w:val="00B4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18E09-920C-4583-BB1E-D36230B1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PR1</dc:creator>
  <cp:keywords/>
  <dc:description/>
  <cp:lastModifiedBy>PR1</cp:lastModifiedBy>
  <cp:revision>1</cp:revision>
  <dcterms:created xsi:type="dcterms:W3CDTF">2021-10-23T22:07:00Z</dcterms:created>
  <dcterms:modified xsi:type="dcterms:W3CDTF">2021-10-23T22:09:00Z</dcterms:modified>
</cp:coreProperties>
</file>